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078B" w14:textId="3001549B" w:rsidR="00C257CA" w:rsidRPr="009C70E3" w:rsidRDefault="00C257CA" w:rsidP="009C70E3">
      <w:pPr>
        <w:spacing w:after="0" w:line="240" w:lineRule="auto"/>
        <w:jc w:val="center"/>
        <w:rPr>
          <w:rFonts w:ascii="Times New Roman" w:hAnsi="Times New Roman" w:cs="Times New Roman"/>
          <w:b/>
          <w:sz w:val="20"/>
          <w:szCs w:val="20"/>
        </w:rPr>
      </w:pPr>
      <w:r w:rsidRPr="009C70E3">
        <w:rPr>
          <w:rFonts w:ascii="Times New Roman" w:hAnsi="Times New Roman" w:cs="Times New Roman"/>
          <w:b/>
          <w:sz w:val="20"/>
          <w:szCs w:val="20"/>
        </w:rPr>
        <w:t>GÜZEL SANATLAR TASARIM VE MİMARLIK FAKÜLTESİ</w:t>
      </w:r>
    </w:p>
    <w:p w14:paraId="7BCA34B0" w14:textId="77777777" w:rsidR="00C257CA" w:rsidRPr="009C70E3" w:rsidRDefault="00572C5F" w:rsidP="009C70E3">
      <w:pPr>
        <w:spacing w:after="0" w:line="240" w:lineRule="auto"/>
        <w:jc w:val="center"/>
        <w:rPr>
          <w:rFonts w:ascii="Times New Roman" w:hAnsi="Times New Roman" w:cs="Times New Roman"/>
          <w:b/>
          <w:sz w:val="20"/>
          <w:szCs w:val="20"/>
        </w:rPr>
      </w:pPr>
      <w:r w:rsidRPr="009C70E3">
        <w:rPr>
          <w:rFonts w:ascii="Times New Roman" w:hAnsi="Times New Roman" w:cs="Times New Roman"/>
          <w:b/>
          <w:sz w:val="20"/>
          <w:szCs w:val="20"/>
        </w:rPr>
        <w:t>MİMARLIK /İÇ MİMARLIK</w:t>
      </w:r>
      <w:r w:rsidR="00024DFA" w:rsidRPr="009C70E3">
        <w:rPr>
          <w:rFonts w:ascii="Times New Roman" w:hAnsi="Times New Roman" w:cs="Times New Roman"/>
          <w:b/>
          <w:sz w:val="20"/>
          <w:szCs w:val="20"/>
        </w:rPr>
        <w:t xml:space="preserve">/GASTRONOMİ VE MUTFAK SANATLARI </w:t>
      </w:r>
    </w:p>
    <w:p w14:paraId="4891877B" w14:textId="1D7BA4A5" w:rsidR="00387126" w:rsidRDefault="001634C7" w:rsidP="009C70E3">
      <w:pPr>
        <w:spacing w:after="0" w:line="240" w:lineRule="auto"/>
        <w:jc w:val="center"/>
        <w:rPr>
          <w:rFonts w:ascii="Times New Roman" w:hAnsi="Times New Roman" w:cs="Times New Roman"/>
          <w:b/>
          <w:sz w:val="20"/>
          <w:szCs w:val="20"/>
        </w:rPr>
      </w:pPr>
      <w:r w:rsidRPr="009C70E3">
        <w:rPr>
          <w:rFonts w:ascii="Times New Roman" w:hAnsi="Times New Roman" w:cs="Times New Roman"/>
          <w:b/>
          <w:sz w:val="20"/>
          <w:szCs w:val="20"/>
        </w:rPr>
        <w:t>EĞİTİM-</w:t>
      </w:r>
      <w:r w:rsidR="00C257CA" w:rsidRPr="009C70E3">
        <w:rPr>
          <w:rFonts w:ascii="Times New Roman" w:hAnsi="Times New Roman" w:cs="Times New Roman"/>
          <w:b/>
          <w:sz w:val="20"/>
          <w:szCs w:val="20"/>
        </w:rPr>
        <w:t xml:space="preserve"> ÖĞRETİM İLE İLGİLİ İDARİ İŞ VE İŞLEMLER GÖREV </w:t>
      </w:r>
      <w:r w:rsidRPr="009C70E3">
        <w:rPr>
          <w:rFonts w:ascii="Times New Roman" w:hAnsi="Times New Roman" w:cs="Times New Roman"/>
          <w:b/>
          <w:sz w:val="20"/>
          <w:szCs w:val="20"/>
        </w:rPr>
        <w:t>TANIMLARI</w:t>
      </w:r>
    </w:p>
    <w:p w14:paraId="036808FC" w14:textId="77777777" w:rsidR="009C70E3" w:rsidRPr="00F25C8D" w:rsidRDefault="009C70E3" w:rsidP="009C70E3">
      <w:pPr>
        <w:spacing w:after="0" w:line="240" w:lineRule="auto"/>
        <w:jc w:val="center"/>
        <w:rPr>
          <w:rFonts w:ascii="Times New Roman" w:hAnsi="Times New Roman" w:cs="Times New Roman"/>
          <w:b/>
          <w:sz w:val="16"/>
          <w:szCs w:val="16"/>
        </w:rPr>
      </w:pPr>
    </w:p>
    <w:tbl>
      <w:tblPr>
        <w:tblStyle w:val="TabloKlavuzu"/>
        <w:tblW w:w="10745" w:type="dxa"/>
        <w:tblInd w:w="-572" w:type="dxa"/>
        <w:tblLayout w:type="fixed"/>
        <w:tblLook w:val="04A0" w:firstRow="1" w:lastRow="0" w:firstColumn="1" w:lastColumn="0" w:noHBand="0" w:noVBand="1"/>
      </w:tblPr>
      <w:tblGrid>
        <w:gridCol w:w="2268"/>
        <w:gridCol w:w="8477"/>
      </w:tblGrid>
      <w:tr w:rsidR="001634C7" w:rsidRPr="009C70E3" w14:paraId="13CFF812" w14:textId="77777777" w:rsidTr="00F25C8D">
        <w:trPr>
          <w:trHeight w:val="20"/>
        </w:trPr>
        <w:tc>
          <w:tcPr>
            <w:tcW w:w="2268" w:type="dxa"/>
            <w:vAlign w:val="center"/>
          </w:tcPr>
          <w:p w14:paraId="140C6A2E" w14:textId="2B52F62F" w:rsidR="001634C7" w:rsidRPr="00D437BD" w:rsidRDefault="001634C7" w:rsidP="00DB3951">
            <w:pPr>
              <w:jc w:val="center"/>
              <w:rPr>
                <w:rFonts w:ascii="Times New Roman" w:hAnsi="Times New Roman" w:cs="Times New Roman"/>
                <w:b/>
                <w:sz w:val="18"/>
                <w:szCs w:val="18"/>
              </w:rPr>
            </w:pPr>
            <w:r w:rsidRPr="00D437BD">
              <w:rPr>
                <w:rFonts w:ascii="Times New Roman" w:hAnsi="Times New Roman" w:cs="Times New Roman"/>
                <w:b/>
                <w:sz w:val="18"/>
                <w:szCs w:val="18"/>
              </w:rPr>
              <w:t xml:space="preserve">GÖREV ADI </w:t>
            </w:r>
          </w:p>
        </w:tc>
        <w:tc>
          <w:tcPr>
            <w:tcW w:w="8477" w:type="dxa"/>
            <w:vAlign w:val="center"/>
          </w:tcPr>
          <w:p w14:paraId="3F5DFD6C" w14:textId="5465659B" w:rsidR="001634C7" w:rsidRPr="00D437BD" w:rsidRDefault="001634C7" w:rsidP="001634C7">
            <w:pPr>
              <w:rPr>
                <w:rFonts w:ascii="Times New Roman" w:hAnsi="Times New Roman" w:cs="Times New Roman"/>
                <w:b/>
                <w:sz w:val="18"/>
                <w:szCs w:val="18"/>
              </w:rPr>
            </w:pPr>
            <w:r w:rsidRPr="00D437BD">
              <w:rPr>
                <w:rFonts w:ascii="Times New Roman" w:hAnsi="Times New Roman" w:cs="Times New Roman"/>
                <w:b/>
                <w:sz w:val="18"/>
                <w:szCs w:val="18"/>
              </w:rPr>
              <w:t>GÖREV AÇIKLAMASI</w:t>
            </w:r>
          </w:p>
        </w:tc>
      </w:tr>
      <w:tr w:rsidR="001634C7" w:rsidRPr="009C70E3" w14:paraId="12C4DE04" w14:textId="77777777" w:rsidTr="00F25C8D">
        <w:trPr>
          <w:trHeight w:val="20"/>
        </w:trPr>
        <w:tc>
          <w:tcPr>
            <w:tcW w:w="2268" w:type="dxa"/>
            <w:vAlign w:val="center"/>
          </w:tcPr>
          <w:p w14:paraId="1FDDDE32" w14:textId="77777777" w:rsidR="001634C7" w:rsidRPr="00D437BD" w:rsidRDefault="001634C7" w:rsidP="00DB3951">
            <w:pPr>
              <w:rPr>
                <w:rFonts w:ascii="Times New Roman" w:hAnsi="Times New Roman" w:cs="Times New Roman"/>
                <w:b/>
                <w:sz w:val="18"/>
                <w:szCs w:val="18"/>
              </w:rPr>
            </w:pPr>
            <w:r w:rsidRPr="00D437BD">
              <w:rPr>
                <w:rFonts w:ascii="Times New Roman" w:hAnsi="Times New Roman" w:cs="Times New Roman"/>
                <w:b/>
                <w:sz w:val="18"/>
                <w:szCs w:val="18"/>
              </w:rPr>
              <w:t>STAJ KOMİSYONU</w:t>
            </w:r>
          </w:p>
          <w:p w14:paraId="1DA1E2BB" w14:textId="77777777" w:rsidR="001634C7" w:rsidRPr="00D437BD" w:rsidRDefault="001634C7" w:rsidP="00DB3951">
            <w:pPr>
              <w:rPr>
                <w:rFonts w:ascii="Times New Roman" w:hAnsi="Times New Roman" w:cs="Times New Roman"/>
                <w:b/>
                <w:sz w:val="18"/>
                <w:szCs w:val="18"/>
              </w:rPr>
            </w:pPr>
            <w:r w:rsidRPr="00D437BD">
              <w:rPr>
                <w:rFonts w:ascii="Times New Roman" w:hAnsi="Times New Roman" w:cs="Times New Roman"/>
                <w:b/>
                <w:sz w:val="18"/>
                <w:szCs w:val="18"/>
              </w:rPr>
              <w:t>DUYURULARI /TAKİBİ/ DEĞERLENDİRİLMESİ</w:t>
            </w:r>
          </w:p>
        </w:tc>
        <w:tc>
          <w:tcPr>
            <w:tcW w:w="8477" w:type="dxa"/>
            <w:vAlign w:val="center"/>
          </w:tcPr>
          <w:p w14:paraId="777B9E99" w14:textId="77777777" w:rsidR="00853056" w:rsidRPr="00D437BD" w:rsidRDefault="00853056" w:rsidP="00EB7CA8">
            <w:pPr>
              <w:pStyle w:val="ListeParagraf"/>
              <w:numPr>
                <w:ilvl w:val="0"/>
                <w:numId w:val="2"/>
              </w:numPr>
              <w:ind w:left="182" w:hanging="142"/>
              <w:jc w:val="both"/>
              <w:rPr>
                <w:rFonts w:ascii="Times New Roman" w:hAnsi="Times New Roman" w:cs="Times New Roman"/>
                <w:bCs/>
                <w:sz w:val="18"/>
                <w:szCs w:val="18"/>
              </w:rPr>
            </w:pPr>
            <w:r w:rsidRPr="00D437BD">
              <w:rPr>
                <w:rFonts w:ascii="Times New Roman" w:hAnsi="Times New Roman" w:cs="Times New Roman"/>
                <w:bCs/>
                <w:sz w:val="18"/>
                <w:szCs w:val="18"/>
              </w:rPr>
              <w:t xml:space="preserve">Staj duyurularının yapılması, </w:t>
            </w:r>
          </w:p>
          <w:p w14:paraId="0BADD04F" w14:textId="77777777" w:rsidR="00853056" w:rsidRPr="00D437BD" w:rsidRDefault="00853056" w:rsidP="00EB7CA8">
            <w:pPr>
              <w:pStyle w:val="ListeParagraf"/>
              <w:numPr>
                <w:ilvl w:val="0"/>
                <w:numId w:val="2"/>
              </w:numPr>
              <w:ind w:left="182" w:hanging="142"/>
              <w:jc w:val="both"/>
              <w:rPr>
                <w:rFonts w:ascii="Times New Roman" w:hAnsi="Times New Roman" w:cs="Times New Roman"/>
                <w:bCs/>
                <w:sz w:val="18"/>
                <w:szCs w:val="18"/>
              </w:rPr>
            </w:pPr>
            <w:r w:rsidRPr="00D437BD">
              <w:rPr>
                <w:rFonts w:ascii="Times New Roman" w:hAnsi="Times New Roman" w:cs="Times New Roman"/>
                <w:bCs/>
                <w:sz w:val="18"/>
                <w:szCs w:val="18"/>
              </w:rPr>
              <w:t xml:space="preserve">Öğrenciler tarafından teslim edilen staj defterlerinin değerlendirilmesi ve sonuçların duyurulması, </w:t>
            </w:r>
          </w:p>
          <w:p w14:paraId="33B294B0" w14:textId="792E98EE" w:rsidR="00853056" w:rsidRPr="00D437BD" w:rsidRDefault="00853056" w:rsidP="00EB7CA8">
            <w:pPr>
              <w:pStyle w:val="ListeParagraf"/>
              <w:numPr>
                <w:ilvl w:val="0"/>
                <w:numId w:val="2"/>
              </w:numPr>
              <w:ind w:left="182" w:hanging="142"/>
              <w:jc w:val="both"/>
              <w:rPr>
                <w:rFonts w:ascii="Times New Roman" w:hAnsi="Times New Roman" w:cs="Times New Roman"/>
                <w:bCs/>
                <w:sz w:val="18"/>
                <w:szCs w:val="18"/>
              </w:rPr>
            </w:pPr>
            <w:r w:rsidRPr="00D437BD">
              <w:rPr>
                <w:rFonts w:ascii="Times New Roman" w:hAnsi="Times New Roman" w:cs="Times New Roman"/>
                <w:bCs/>
                <w:sz w:val="18"/>
                <w:szCs w:val="18"/>
              </w:rPr>
              <w:t>Öğrenci ve işveren staj anketlerinin uygulanması ve anket raporlarının hazırlanarak GSTMF kalite komisyonuna teslim edilmesi,</w:t>
            </w:r>
          </w:p>
          <w:p w14:paraId="7C4C361C" w14:textId="542B6CB2" w:rsidR="001634C7" w:rsidRPr="00D437BD" w:rsidRDefault="00853056" w:rsidP="00EB7CA8">
            <w:pPr>
              <w:pStyle w:val="ListeParagraf"/>
              <w:numPr>
                <w:ilvl w:val="0"/>
                <w:numId w:val="2"/>
              </w:numPr>
              <w:ind w:left="182" w:hanging="142"/>
              <w:jc w:val="both"/>
              <w:rPr>
                <w:rFonts w:ascii="Times New Roman" w:hAnsi="Times New Roman" w:cs="Times New Roman"/>
                <w:bCs/>
                <w:sz w:val="18"/>
                <w:szCs w:val="18"/>
              </w:rPr>
            </w:pPr>
            <w:r w:rsidRPr="00D437BD">
              <w:rPr>
                <w:rFonts w:ascii="Times New Roman" w:hAnsi="Times New Roman" w:cs="Times New Roman"/>
                <w:bCs/>
                <w:sz w:val="18"/>
                <w:szCs w:val="18"/>
              </w:rPr>
              <w:t xml:space="preserve">Ayrıca </w:t>
            </w:r>
            <w:hyperlink r:id="rId9" w:history="1">
              <w:r w:rsidRPr="00D437BD">
                <w:rPr>
                  <w:rStyle w:val="Kpr"/>
                  <w:rFonts w:ascii="Times New Roman" w:hAnsi="Times New Roman" w:cs="Times New Roman"/>
                  <w:bCs/>
                  <w:sz w:val="18"/>
                  <w:szCs w:val="18"/>
                </w:rPr>
                <w:t xml:space="preserve">GSTMF Staj </w:t>
              </w:r>
              <w:proofErr w:type="spellStart"/>
              <w:r w:rsidRPr="00D437BD">
                <w:rPr>
                  <w:rStyle w:val="Kpr"/>
                  <w:rFonts w:ascii="Times New Roman" w:hAnsi="Times New Roman" w:cs="Times New Roman"/>
                  <w:bCs/>
                  <w:sz w:val="18"/>
                  <w:szCs w:val="18"/>
                </w:rPr>
                <w:t>Yönergesi</w:t>
              </w:r>
            </w:hyperlink>
            <w:r w:rsidRPr="00D437BD">
              <w:rPr>
                <w:rFonts w:ascii="Times New Roman" w:hAnsi="Times New Roman" w:cs="Times New Roman"/>
                <w:bCs/>
                <w:sz w:val="18"/>
                <w:szCs w:val="18"/>
              </w:rPr>
              <w:t>’nde</w:t>
            </w:r>
            <w:proofErr w:type="spellEnd"/>
            <w:r w:rsidRPr="00D437BD">
              <w:rPr>
                <w:rFonts w:ascii="Times New Roman" w:hAnsi="Times New Roman" w:cs="Times New Roman"/>
                <w:bCs/>
                <w:sz w:val="18"/>
                <w:szCs w:val="18"/>
              </w:rPr>
              <w:t xml:space="preserve"> tanımlı görevlerinden sorumludur.</w:t>
            </w:r>
          </w:p>
        </w:tc>
      </w:tr>
      <w:tr w:rsidR="001634C7" w:rsidRPr="009C70E3" w14:paraId="72D2A28A" w14:textId="77777777" w:rsidTr="00F25C8D">
        <w:trPr>
          <w:trHeight w:val="498"/>
        </w:trPr>
        <w:tc>
          <w:tcPr>
            <w:tcW w:w="2268" w:type="dxa"/>
            <w:vAlign w:val="center"/>
          </w:tcPr>
          <w:p w14:paraId="75660060" w14:textId="77777777" w:rsidR="001634C7" w:rsidRPr="00D437BD" w:rsidRDefault="001634C7" w:rsidP="00DB3951">
            <w:pPr>
              <w:rPr>
                <w:rFonts w:ascii="Times New Roman" w:hAnsi="Times New Roman" w:cs="Times New Roman"/>
                <w:b/>
                <w:sz w:val="18"/>
                <w:szCs w:val="18"/>
              </w:rPr>
            </w:pPr>
            <w:r w:rsidRPr="00D437BD">
              <w:rPr>
                <w:rFonts w:ascii="Times New Roman" w:hAnsi="Times New Roman" w:cs="Times New Roman"/>
                <w:b/>
                <w:sz w:val="18"/>
                <w:szCs w:val="18"/>
              </w:rPr>
              <w:t>HAFTALIK DERS PROGRAMI</w:t>
            </w:r>
          </w:p>
        </w:tc>
        <w:tc>
          <w:tcPr>
            <w:tcW w:w="8477" w:type="dxa"/>
            <w:vAlign w:val="center"/>
          </w:tcPr>
          <w:p w14:paraId="2F372D53" w14:textId="208BCF3C" w:rsidR="001634C7" w:rsidRPr="00D437BD" w:rsidRDefault="00853056" w:rsidP="00EB7CA8">
            <w:pPr>
              <w:jc w:val="both"/>
              <w:rPr>
                <w:rFonts w:ascii="Times New Roman" w:hAnsi="Times New Roman" w:cs="Times New Roman"/>
                <w:sz w:val="18"/>
                <w:szCs w:val="18"/>
              </w:rPr>
            </w:pPr>
            <w:r w:rsidRPr="00D437BD">
              <w:rPr>
                <w:rFonts w:ascii="Times New Roman" w:hAnsi="Times New Roman" w:cs="Times New Roman"/>
                <w:sz w:val="18"/>
                <w:szCs w:val="18"/>
              </w:rPr>
              <w:t>Güz, Bahar ve Yaz dönemleri başlamadan önce, bölüm başkanlıklarınca yapılan öğretim elemanı ders görevlendirmeleriyle, üniversitemiz akademik takvimi ve eğitim öğretim programı ile uyumlu haftalık ders programlarının hazırlanması ve bölüm başkanlıklarına teslimi</w:t>
            </w:r>
            <w:r w:rsidR="00EB7CA8" w:rsidRPr="00D437BD">
              <w:rPr>
                <w:rFonts w:ascii="Times New Roman" w:hAnsi="Times New Roman" w:cs="Times New Roman"/>
                <w:sz w:val="18"/>
                <w:szCs w:val="18"/>
              </w:rPr>
              <w:t>nin yapılmasından sorumludur. Ayrıca engelli öğrencilere yönelik, talep doğrultusunda özel ayrıntılar içeren (sınıf, sınav şekli, gözetmen bilgisi) sınav takvimlerinin hazırlanmasından da sorumludur.</w:t>
            </w:r>
          </w:p>
        </w:tc>
      </w:tr>
      <w:tr w:rsidR="001634C7" w:rsidRPr="009C70E3" w14:paraId="374C9457" w14:textId="77777777" w:rsidTr="00F25C8D">
        <w:trPr>
          <w:trHeight w:val="543"/>
        </w:trPr>
        <w:tc>
          <w:tcPr>
            <w:tcW w:w="2268" w:type="dxa"/>
            <w:vAlign w:val="center"/>
          </w:tcPr>
          <w:p w14:paraId="36BE812F" w14:textId="77777777" w:rsidR="001634C7" w:rsidRPr="00D437BD" w:rsidRDefault="001634C7" w:rsidP="00DB3951">
            <w:pPr>
              <w:rPr>
                <w:rFonts w:ascii="Times New Roman" w:hAnsi="Times New Roman" w:cs="Times New Roman"/>
                <w:b/>
                <w:sz w:val="18"/>
                <w:szCs w:val="18"/>
              </w:rPr>
            </w:pPr>
            <w:r w:rsidRPr="00D437BD">
              <w:rPr>
                <w:rFonts w:ascii="Times New Roman" w:hAnsi="Times New Roman" w:cs="Times New Roman"/>
                <w:b/>
                <w:sz w:val="18"/>
                <w:szCs w:val="18"/>
              </w:rPr>
              <w:t>SINAV KOMİSYONU</w:t>
            </w:r>
          </w:p>
          <w:p w14:paraId="456EC1FD" w14:textId="4A5E3F71" w:rsidR="001634C7" w:rsidRPr="00D437BD" w:rsidRDefault="001634C7" w:rsidP="00DB3951">
            <w:pPr>
              <w:rPr>
                <w:rFonts w:ascii="Times New Roman" w:hAnsi="Times New Roman" w:cs="Times New Roman"/>
                <w:b/>
                <w:sz w:val="18"/>
                <w:szCs w:val="18"/>
              </w:rPr>
            </w:pPr>
          </w:p>
        </w:tc>
        <w:tc>
          <w:tcPr>
            <w:tcW w:w="8477" w:type="dxa"/>
            <w:vAlign w:val="center"/>
          </w:tcPr>
          <w:p w14:paraId="650CCE20" w14:textId="76374FBD" w:rsidR="001634C7" w:rsidRPr="00D437BD" w:rsidRDefault="00EB7CA8" w:rsidP="00EB7CA8">
            <w:pPr>
              <w:jc w:val="both"/>
              <w:rPr>
                <w:rFonts w:ascii="Times New Roman" w:hAnsi="Times New Roman" w:cs="Times New Roman"/>
                <w:bCs/>
                <w:sz w:val="18"/>
                <w:szCs w:val="18"/>
              </w:rPr>
            </w:pPr>
            <w:r w:rsidRPr="00D437BD">
              <w:rPr>
                <w:rFonts w:ascii="Times New Roman" w:hAnsi="Times New Roman" w:cs="Times New Roman"/>
                <w:sz w:val="18"/>
                <w:szCs w:val="18"/>
              </w:rPr>
              <w:t>Güz, Bahar ve Yaz dönemlerinde öğrenim sürdürülen derslere ait ara sınav, mazeret sınavı, final sınavı, bütünleme sınavı ve tek ders sınavları ile öğrenim süresini aşan öğrencilere verilen haklar kapsamında açılan dersler için sınav takviminin hazırlanmasından sorumludur. Ayrıca engelli öğrencilere yönelik, talep doğrultusunda özel ayrıntılar içeren (sınıf, sınav şekli, gözetmen bilgisi) sınav takvimlerinin hazırlanmasından da sorumludur.</w:t>
            </w:r>
          </w:p>
        </w:tc>
      </w:tr>
      <w:tr w:rsidR="00C15189" w:rsidRPr="009C70E3" w14:paraId="25DE0BB3" w14:textId="77777777" w:rsidTr="00F25C8D">
        <w:trPr>
          <w:trHeight w:val="1121"/>
        </w:trPr>
        <w:tc>
          <w:tcPr>
            <w:tcW w:w="2268" w:type="dxa"/>
            <w:vAlign w:val="center"/>
          </w:tcPr>
          <w:p w14:paraId="202A0962" w14:textId="285511B9" w:rsidR="00C15189" w:rsidRPr="00D437BD" w:rsidRDefault="00C15189" w:rsidP="00DB3951">
            <w:pPr>
              <w:rPr>
                <w:rFonts w:ascii="Times New Roman" w:hAnsi="Times New Roman" w:cs="Times New Roman"/>
                <w:b/>
                <w:sz w:val="18"/>
                <w:szCs w:val="18"/>
              </w:rPr>
            </w:pPr>
            <w:r w:rsidRPr="00D437BD">
              <w:rPr>
                <w:rFonts w:ascii="Times New Roman" w:hAnsi="Times New Roman" w:cs="Times New Roman"/>
                <w:b/>
                <w:sz w:val="18"/>
                <w:szCs w:val="18"/>
              </w:rPr>
              <w:t>BOLOGNA BİLGİ PAKETİ VE DERS İÇERİKLERİ</w:t>
            </w:r>
          </w:p>
        </w:tc>
        <w:tc>
          <w:tcPr>
            <w:tcW w:w="8477" w:type="dxa"/>
            <w:vAlign w:val="center"/>
          </w:tcPr>
          <w:p w14:paraId="06DB5EEA" w14:textId="77777777" w:rsidR="00C15189" w:rsidRPr="00D437BD" w:rsidRDefault="00C15189" w:rsidP="009C70E3">
            <w:pPr>
              <w:jc w:val="both"/>
              <w:rPr>
                <w:rFonts w:ascii="Times New Roman" w:hAnsi="Times New Roman" w:cs="Times New Roman"/>
                <w:sz w:val="18"/>
                <w:szCs w:val="18"/>
              </w:rPr>
            </w:pPr>
            <w:r w:rsidRPr="00D437BD">
              <w:rPr>
                <w:rFonts w:ascii="Times New Roman" w:hAnsi="Times New Roman" w:cs="Times New Roman"/>
                <w:sz w:val="18"/>
                <w:szCs w:val="18"/>
              </w:rPr>
              <w:t xml:space="preserve">Her ders dönemi başında, ders görevlendirmesi yapılmış kadrolu ve ders saat ücretli öğretim elemanlarına yönelik Bologna Bilgi Paketi’ndeki güncellemelerini yapmak üzere bilgilendirme yapar. Bölüm başkanlığınca belirtilen süre içerisinde bilgilerini güncellemeyen öğretim elemanları hakkında bölüm başkanlığına bilgi verir. </w:t>
            </w:r>
          </w:p>
          <w:p w14:paraId="67B5006C" w14:textId="551B1A18" w:rsidR="00C15189" w:rsidRPr="00D437BD" w:rsidRDefault="00C15189" w:rsidP="009C70E3">
            <w:pPr>
              <w:jc w:val="both"/>
              <w:rPr>
                <w:rFonts w:ascii="Times New Roman" w:hAnsi="Times New Roman" w:cs="Times New Roman"/>
                <w:sz w:val="18"/>
                <w:szCs w:val="18"/>
              </w:rPr>
            </w:pPr>
            <w:r w:rsidRPr="00D437BD">
              <w:rPr>
                <w:rFonts w:ascii="Times New Roman" w:hAnsi="Times New Roman" w:cs="Times New Roman"/>
                <w:sz w:val="18"/>
                <w:szCs w:val="18"/>
              </w:rPr>
              <w:t xml:space="preserve">Ders içeriklerinin sorumlu olduğu bölüm internet sayfasında güncel olup olmadığının takibini yapar ve güncel olmayan derslerle ilgili başkanlığına bilgi verir. </w:t>
            </w:r>
          </w:p>
        </w:tc>
      </w:tr>
      <w:tr w:rsidR="001634C7" w:rsidRPr="009C70E3" w14:paraId="721AD7E6" w14:textId="77777777" w:rsidTr="00F25C8D">
        <w:trPr>
          <w:trHeight w:val="1265"/>
        </w:trPr>
        <w:tc>
          <w:tcPr>
            <w:tcW w:w="2268" w:type="dxa"/>
            <w:vAlign w:val="center"/>
          </w:tcPr>
          <w:p w14:paraId="550CDF76" w14:textId="1D9ECEBC" w:rsidR="001634C7" w:rsidRPr="00D437BD" w:rsidRDefault="001634C7" w:rsidP="00DB3951">
            <w:pPr>
              <w:rPr>
                <w:rFonts w:ascii="Times New Roman" w:hAnsi="Times New Roman" w:cs="Times New Roman"/>
                <w:b/>
                <w:sz w:val="18"/>
                <w:szCs w:val="18"/>
              </w:rPr>
            </w:pPr>
            <w:r w:rsidRPr="00D437BD">
              <w:rPr>
                <w:rFonts w:ascii="Times New Roman" w:hAnsi="Times New Roman" w:cs="Times New Roman"/>
                <w:b/>
                <w:sz w:val="18"/>
                <w:szCs w:val="18"/>
              </w:rPr>
              <w:t>WEB KOMİSYONU</w:t>
            </w:r>
          </w:p>
        </w:tc>
        <w:tc>
          <w:tcPr>
            <w:tcW w:w="8477" w:type="dxa"/>
            <w:vAlign w:val="center"/>
          </w:tcPr>
          <w:p w14:paraId="555F5BDC" w14:textId="0FD74F4B" w:rsidR="00C15189" w:rsidRPr="00D437BD" w:rsidRDefault="00DD3038" w:rsidP="00C15189">
            <w:pPr>
              <w:jc w:val="both"/>
              <w:rPr>
                <w:rFonts w:ascii="Times New Roman" w:hAnsi="Times New Roman" w:cs="Times New Roman"/>
                <w:sz w:val="18"/>
                <w:szCs w:val="18"/>
              </w:rPr>
            </w:pPr>
            <w:r>
              <w:rPr>
                <w:rFonts w:ascii="Times New Roman" w:hAnsi="Times New Roman" w:cs="Times New Roman"/>
                <w:sz w:val="18"/>
                <w:szCs w:val="18"/>
              </w:rPr>
              <w:t>S</w:t>
            </w:r>
            <w:r w:rsidR="00C15189" w:rsidRPr="00D437BD">
              <w:rPr>
                <w:rFonts w:ascii="Times New Roman" w:hAnsi="Times New Roman" w:cs="Times New Roman"/>
                <w:sz w:val="18"/>
                <w:szCs w:val="18"/>
              </w:rPr>
              <w:t xml:space="preserve">tratejik </w:t>
            </w:r>
            <w:r>
              <w:rPr>
                <w:rFonts w:ascii="Times New Roman" w:hAnsi="Times New Roman" w:cs="Times New Roman"/>
                <w:sz w:val="18"/>
                <w:szCs w:val="18"/>
              </w:rPr>
              <w:t>P</w:t>
            </w:r>
            <w:r w:rsidR="00C15189" w:rsidRPr="00D437BD">
              <w:rPr>
                <w:rFonts w:ascii="Times New Roman" w:hAnsi="Times New Roman" w:cs="Times New Roman"/>
                <w:sz w:val="18"/>
                <w:szCs w:val="18"/>
              </w:rPr>
              <w:t>lan</w:t>
            </w:r>
            <w:r>
              <w:rPr>
                <w:rFonts w:ascii="Times New Roman" w:hAnsi="Times New Roman" w:cs="Times New Roman"/>
                <w:sz w:val="18"/>
                <w:szCs w:val="18"/>
              </w:rPr>
              <w:t xml:space="preserve">ın </w:t>
            </w:r>
            <w:r w:rsidR="00C15189" w:rsidRPr="00D437BD">
              <w:rPr>
                <w:rFonts w:ascii="Times New Roman" w:hAnsi="Times New Roman" w:cs="Times New Roman"/>
                <w:sz w:val="18"/>
                <w:szCs w:val="18"/>
              </w:rPr>
              <w:t xml:space="preserve">hesap verilebilirlik ilkesi ile ilişkili olarak; </w:t>
            </w:r>
          </w:p>
          <w:p w14:paraId="7F3C37D2" w14:textId="1CD0D445" w:rsidR="001634C7" w:rsidRPr="00D437BD" w:rsidRDefault="00C15189" w:rsidP="00C15189">
            <w:pPr>
              <w:jc w:val="both"/>
              <w:rPr>
                <w:rFonts w:ascii="Times New Roman" w:hAnsi="Times New Roman" w:cs="Times New Roman"/>
                <w:sz w:val="18"/>
                <w:szCs w:val="18"/>
              </w:rPr>
            </w:pPr>
            <w:r w:rsidRPr="00D437BD">
              <w:rPr>
                <w:rFonts w:ascii="Times New Roman" w:hAnsi="Times New Roman" w:cs="Times New Roman"/>
                <w:sz w:val="18"/>
                <w:szCs w:val="18"/>
              </w:rPr>
              <w:t>Fakülte ve fakülteye bağlı bölümlere ait sosyal medya hesaplarından bilgi paylaşımı için içerik (haberler, etkinlikler, duyurular) hazırlanması ve yayınlanması,</w:t>
            </w:r>
          </w:p>
          <w:p w14:paraId="2CE541D2" w14:textId="2114DA38" w:rsidR="00C15189" w:rsidRPr="00D437BD" w:rsidRDefault="00C15189" w:rsidP="00C15189">
            <w:pPr>
              <w:jc w:val="both"/>
              <w:rPr>
                <w:rFonts w:ascii="Times New Roman" w:hAnsi="Times New Roman" w:cs="Times New Roman"/>
                <w:sz w:val="18"/>
                <w:szCs w:val="18"/>
              </w:rPr>
            </w:pPr>
            <w:r w:rsidRPr="00D437BD">
              <w:rPr>
                <w:rFonts w:ascii="Times New Roman" w:hAnsi="Times New Roman" w:cs="Times New Roman"/>
                <w:sz w:val="18"/>
                <w:szCs w:val="18"/>
              </w:rPr>
              <w:t>Fakülte ve fakülteye bağlı bölümlerle ilgili duyuruların yapılması, öğretim elemanı bilgilerinin güncel olup olmadığının takibinin yapılması ve bölüm başkanlıklarına bilgi verilmesi, idari ve akademik faaliyetler kapsamında gerçekleştirilen faaliyetlere ilişkin kanıtlar, raporlar vb. belgelerin fakültemiz internet sayfasındaki ilgili kısımlarda duyurulması konularından</w:t>
            </w:r>
            <w:r w:rsidR="006D044B" w:rsidRPr="00D437BD">
              <w:rPr>
                <w:rFonts w:ascii="Times New Roman" w:hAnsi="Times New Roman" w:cs="Times New Roman"/>
                <w:sz w:val="18"/>
                <w:szCs w:val="18"/>
              </w:rPr>
              <w:t xml:space="preserve"> </w:t>
            </w:r>
            <w:r w:rsidRPr="00D437BD">
              <w:rPr>
                <w:rFonts w:ascii="Times New Roman" w:hAnsi="Times New Roman" w:cs="Times New Roman"/>
                <w:sz w:val="18"/>
                <w:szCs w:val="18"/>
              </w:rPr>
              <w:t>sorumludur.</w:t>
            </w:r>
          </w:p>
        </w:tc>
      </w:tr>
      <w:tr w:rsidR="001634C7" w:rsidRPr="009C70E3" w14:paraId="39FF0185" w14:textId="77777777" w:rsidTr="00F25C8D">
        <w:trPr>
          <w:trHeight w:val="498"/>
        </w:trPr>
        <w:tc>
          <w:tcPr>
            <w:tcW w:w="2268" w:type="dxa"/>
            <w:vAlign w:val="center"/>
          </w:tcPr>
          <w:p w14:paraId="7A7593F3" w14:textId="22869B88" w:rsidR="001634C7" w:rsidRPr="00D437BD" w:rsidRDefault="001634C7" w:rsidP="00DB3951">
            <w:pPr>
              <w:rPr>
                <w:rFonts w:ascii="Times New Roman" w:hAnsi="Times New Roman" w:cs="Times New Roman"/>
                <w:b/>
                <w:sz w:val="18"/>
                <w:szCs w:val="18"/>
              </w:rPr>
            </w:pPr>
            <w:r w:rsidRPr="00D437BD">
              <w:rPr>
                <w:rFonts w:ascii="Times New Roman" w:hAnsi="Times New Roman" w:cs="Times New Roman"/>
                <w:b/>
                <w:sz w:val="18"/>
                <w:szCs w:val="18"/>
              </w:rPr>
              <w:t>ERASMUS/FARABİ/MEVLANA GİBİ DEĞİŞİM PROGLARI</w:t>
            </w:r>
          </w:p>
        </w:tc>
        <w:tc>
          <w:tcPr>
            <w:tcW w:w="8477" w:type="dxa"/>
            <w:vAlign w:val="center"/>
          </w:tcPr>
          <w:p w14:paraId="68D1217F" w14:textId="01B8C52F" w:rsidR="001634C7" w:rsidRPr="00D437BD" w:rsidRDefault="009C70E3" w:rsidP="00C15189">
            <w:pPr>
              <w:jc w:val="both"/>
              <w:rPr>
                <w:rFonts w:ascii="Times New Roman" w:hAnsi="Times New Roman" w:cs="Times New Roman"/>
                <w:sz w:val="18"/>
                <w:szCs w:val="18"/>
              </w:rPr>
            </w:pPr>
            <w:r w:rsidRPr="00D437BD">
              <w:rPr>
                <w:rFonts w:ascii="Times New Roman" w:hAnsi="Times New Roman" w:cs="Times New Roman"/>
                <w:sz w:val="18"/>
                <w:szCs w:val="18"/>
              </w:rPr>
              <w:t xml:space="preserve">Değişim programlarından yaralanmak isteyen öğrencilere, program süresince gerekli desteği sağlamak üzere görevlidir. </w:t>
            </w:r>
            <w:r w:rsidR="000358FA" w:rsidRPr="00D437BD">
              <w:rPr>
                <w:rFonts w:ascii="Times New Roman" w:hAnsi="Times New Roman" w:cs="Times New Roman"/>
                <w:sz w:val="18"/>
                <w:szCs w:val="18"/>
              </w:rPr>
              <w:t xml:space="preserve">Ayrıca öğrencilere kurum Erasmus ofisi ile etkileşim halinde, öğrencilere başvuru ve değişim programları hakkında yılda 2 kere bilgilendirme toplantısı yaparak, Erasmus ve değişim programları hakkında bilgi vermekten sorumludur. </w:t>
            </w:r>
          </w:p>
        </w:tc>
      </w:tr>
      <w:tr w:rsidR="0051680A" w:rsidRPr="009C70E3" w14:paraId="0AFBB1C5" w14:textId="77777777" w:rsidTr="00F25C8D">
        <w:trPr>
          <w:trHeight w:val="20"/>
        </w:trPr>
        <w:tc>
          <w:tcPr>
            <w:tcW w:w="2268" w:type="dxa"/>
            <w:vAlign w:val="center"/>
          </w:tcPr>
          <w:p w14:paraId="6102DBE9" w14:textId="65F0B27F" w:rsidR="0051680A" w:rsidRPr="00D437BD" w:rsidRDefault="0051680A" w:rsidP="00C15189">
            <w:pPr>
              <w:rPr>
                <w:rFonts w:ascii="Times New Roman" w:hAnsi="Times New Roman" w:cs="Times New Roman"/>
                <w:color w:val="000000" w:themeColor="text1"/>
                <w:sz w:val="18"/>
                <w:szCs w:val="18"/>
              </w:rPr>
            </w:pPr>
            <w:r w:rsidRPr="00D437BD">
              <w:rPr>
                <w:rFonts w:ascii="Times New Roman" w:hAnsi="Times New Roman" w:cs="Times New Roman"/>
                <w:b/>
                <w:bCs/>
                <w:color w:val="000000" w:themeColor="text1"/>
                <w:sz w:val="18"/>
                <w:szCs w:val="18"/>
              </w:rPr>
              <w:t>YATAY GEÇİŞ ÖN DEĞERLENDİRME KOMİSYONU</w:t>
            </w:r>
          </w:p>
        </w:tc>
        <w:tc>
          <w:tcPr>
            <w:tcW w:w="8477" w:type="dxa"/>
            <w:vAlign w:val="center"/>
          </w:tcPr>
          <w:p w14:paraId="6E493ED0" w14:textId="0B881092" w:rsidR="00F12CC2" w:rsidRPr="00D437BD" w:rsidRDefault="000358FA" w:rsidP="00C15189">
            <w:pPr>
              <w:jc w:val="both"/>
              <w:rPr>
                <w:rFonts w:ascii="Times New Roman" w:hAnsi="Times New Roman" w:cs="Times New Roman"/>
                <w:bCs/>
                <w:sz w:val="18"/>
                <w:szCs w:val="18"/>
              </w:rPr>
            </w:pPr>
            <w:r w:rsidRPr="00D437BD">
              <w:rPr>
                <w:rFonts w:ascii="Times New Roman" w:hAnsi="Times New Roman" w:cs="Times New Roman"/>
                <w:bCs/>
                <w:sz w:val="18"/>
                <w:szCs w:val="18"/>
              </w:rPr>
              <w:t>GSTMF’ne bağlı bölümlerde öğrenim görmek üzere yatay ve dikey geçiş başvurusunda bulunan adayların, başvuru formları ve diğer başvuru evraklarını inceleyerek, …. Yönergesine göre değerlendirme ve sıralama</w:t>
            </w:r>
            <w:r w:rsidR="00C8702E" w:rsidRPr="00D437BD">
              <w:rPr>
                <w:rFonts w:ascii="Times New Roman" w:hAnsi="Times New Roman" w:cs="Times New Roman"/>
                <w:bCs/>
                <w:sz w:val="18"/>
                <w:szCs w:val="18"/>
              </w:rPr>
              <w:t>larını yaparak fakülte yönetimine ilgili kararı sunmakla görevlidir. Asil üyeler değerlendirme yapılan günde kurum dışında ise değerlendirme yapmak üzere yedek üyelerden görevlendirme yapılır.</w:t>
            </w:r>
          </w:p>
        </w:tc>
      </w:tr>
      <w:tr w:rsidR="001634C7" w:rsidRPr="009C70E3" w14:paraId="535F15D0" w14:textId="77777777" w:rsidTr="00F25C8D">
        <w:trPr>
          <w:trHeight w:val="20"/>
        </w:trPr>
        <w:tc>
          <w:tcPr>
            <w:tcW w:w="2268" w:type="dxa"/>
            <w:vAlign w:val="center"/>
          </w:tcPr>
          <w:p w14:paraId="48286688" w14:textId="5B9DF805" w:rsidR="001634C7" w:rsidRPr="00D437BD" w:rsidRDefault="001634C7" w:rsidP="00DB3951">
            <w:pPr>
              <w:rPr>
                <w:rFonts w:ascii="Times New Roman" w:hAnsi="Times New Roman" w:cs="Times New Roman"/>
                <w:b/>
                <w:color w:val="000000" w:themeColor="text1"/>
                <w:sz w:val="18"/>
                <w:szCs w:val="18"/>
              </w:rPr>
            </w:pPr>
            <w:r w:rsidRPr="00D437BD">
              <w:rPr>
                <w:rFonts w:ascii="Times New Roman" w:hAnsi="Times New Roman" w:cs="Times New Roman"/>
                <w:b/>
                <w:color w:val="000000" w:themeColor="text1"/>
                <w:sz w:val="18"/>
                <w:szCs w:val="18"/>
              </w:rPr>
              <w:t>MUAFİYET</w:t>
            </w:r>
            <w:r w:rsidR="00135D59" w:rsidRPr="00D437BD">
              <w:rPr>
                <w:rFonts w:ascii="Times New Roman" w:hAnsi="Times New Roman" w:cs="Times New Roman"/>
                <w:b/>
                <w:color w:val="000000" w:themeColor="text1"/>
                <w:sz w:val="18"/>
                <w:szCs w:val="18"/>
              </w:rPr>
              <w:t xml:space="preserve"> </w:t>
            </w:r>
          </w:p>
        </w:tc>
        <w:tc>
          <w:tcPr>
            <w:tcW w:w="8477" w:type="dxa"/>
            <w:vAlign w:val="center"/>
          </w:tcPr>
          <w:p w14:paraId="6B8E7659" w14:textId="28B6D2BB" w:rsidR="001634C7" w:rsidRPr="00D437BD" w:rsidRDefault="00135D59" w:rsidP="00C15189">
            <w:pPr>
              <w:jc w:val="both"/>
              <w:rPr>
                <w:rFonts w:ascii="Times New Roman" w:hAnsi="Times New Roman" w:cs="Times New Roman"/>
                <w:color w:val="000000" w:themeColor="text1"/>
                <w:sz w:val="18"/>
                <w:szCs w:val="18"/>
              </w:rPr>
            </w:pPr>
            <w:r w:rsidRPr="00D437BD">
              <w:rPr>
                <w:rFonts w:ascii="Times New Roman" w:hAnsi="Times New Roman" w:cs="Times New Roman"/>
                <w:bCs/>
                <w:sz w:val="18"/>
                <w:szCs w:val="18"/>
              </w:rPr>
              <w:t>GSTMF’ne bağlı bölümlerde öğrenim görmek yatay veya dikey geçiş başvurusu kabul edilmiş adayların, önceki öğrenmelerin tanınması kapsamında öğrenim yeterlilikleri kabul edilmiş adayların ders intibakları, adayın geçiş yapacağı sınıfın danışmanı tarafından yapılır, kontrol edilmesi üzere kontrol komisyonuna gönderir.</w:t>
            </w:r>
          </w:p>
        </w:tc>
      </w:tr>
      <w:tr w:rsidR="001634C7" w:rsidRPr="009C70E3" w14:paraId="7BD0E945" w14:textId="77777777" w:rsidTr="00F25C8D">
        <w:trPr>
          <w:trHeight w:val="20"/>
        </w:trPr>
        <w:tc>
          <w:tcPr>
            <w:tcW w:w="2268" w:type="dxa"/>
            <w:vAlign w:val="center"/>
          </w:tcPr>
          <w:p w14:paraId="183023AB" w14:textId="7812F6A2" w:rsidR="001634C7" w:rsidRPr="00D437BD" w:rsidRDefault="001634C7" w:rsidP="00DB3951">
            <w:pPr>
              <w:rPr>
                <w:rFonts w:ascii="Times New Roman" w:hAnsi="Times New Roman" w:cs="Times New Roman"/>
                <w:b/>
                <w:color w:val="000000" w:themeColor="text1"/>
                <w:sz w:val="18"/>
                <w:szCs w:val="18"/>
              </w:rPr>
            </w:pPr>
            <w:r w:rsidRPr="00D437BD">
              <w:rPr>
                <w:rFonts w:ascii="Times New Roman" w:hAnsi="Times New Roman" w:cs="Times New Roman"/>
                <w:b/>
                <w:color w:val="000000" w:themeColor="text1"/>
                <w:sz w:val="18"/>
                <w:szCs w:val="18"/>
              </w:rPr>
              <w:t>MUAFİYETLERİN KONTROLÜ</w:t>
            </w:r>
          </w:p>
        </w:tc>
        <w:tc>
          <w:tcPr>
            <w:tcW w:w="8477" w:type="dxa"/>
            <w:vAlign w:val="center"/>
          </w:tcPr>
          <w:p w14:paraId="25D1C720" w14:textId="2F333C53" w:rsidR="001634C7" w:rsidRPr="00D437BD" w:rsidRDefault="00135D59" w:rsidP="00C15189">
            <w:pPr>
              <w:jc w:val="both"/>
              <w:rPr>
                <w:rFonts w:ascii="Times New Roman" w:hAnsi="Times New Roman" w:cs="Times New Roman"/>
                <w:color w:val="000000" w:themeColor="text1"/>
                <w:sz w:val="18"/>
                <w:szCs w:val="18"/>
              </w:rPr>
            </w:pPr>
            <w:r w:rsidRPr="00D437BD">
              <w:rPr>
                <w:rFonts w:ascii="Times New Roman" w:hAnsi="Times New Roman" w:cs="Times New Roman"/>
                <w:bCs/>
                <w:sz w:val="18"/>
                <w:szCs w:val="18"/>
              </w:rPr>
              <w:t>GSTMF’ne bağlı bölümlerde öğrenim görmek yatay veya dikey geçiş başvurusu kabul edilmiş adayların, önceki öğrenmelerin tanınması kapsamında öğrenim yeterlilikleri kabul edilmiş adayların ders intibakları, adayın geçiş yapacağı sınıfın danışmanı tarafından yapıldıktan sonra, bölüm başkanlıklarına sunulmadan önce son kontrolünü yapmakla sorumludur.</w:t>
            </w:r>
          </w:p>
        </w:tc>
      </w:tr>
      <w:tr w:rsidR="001634C7" w:rsidRPr="009C70E3" w14:paraId="6214012B" w14:textId="77777777" w:rsidTr="00F25C8D">
        <w:trPr>
          <w:trHeight w:val="20"/>
        </w:trPr>
        <w:tc>
          <w:tcPr>
            <w:tcW w:w="2268" w:type="dxa"/>
            <w:vAlign w:val="center"/>
          </w:tcPr>
          <w:p w14:paraId="4DD4E9DD" w14:textId="494103CA" w:rsidR="001634C7" w:rsidRPr="00D437BD" w:rsidRDefault="001634C7" w:rsidP="00DB3951">
            <w:pPr>
              <w:rPr>
                <w:rFonts w:ascii="Times New Roman" w:hAnsi="Times New Roman" w:cs="Times New Roman"/>
                <w:b/>
                <w:color w:val="000000" w:themeColor="text1"/>
                <w:sz w:val="18"/>
                <w:szCs w:val="18"/>
              </w:rPr>
            </w:pPr>
            <w:r w:rsidRPr="00D437BD">
              <w:rPr>
                <w:rFonts w:ascii="Times New Roman" w:hAnsi="Times New Roman" w:cs="Times New Roman"/>
                <w:b/>
                <w:color w:val="000000" w:themeColor="text1"/>
                <w:sz w:val="18"/>
                <w:szCs w:val="18"/>
              </w:rPr>
              <w:t>DİJİTAL ARŞİV</w:t>
            </w:r>
          </w:p>
        </w:tc>
        <w:tc>
          <w:tcPr>
            <w:tcW w:w="8477" w:type="dxa"/>
            <w:vAlign w:val="center"/>
          </w:tcPr>
          <w:p w14:paraId="7A211448" w14:textId="3721840A" w:rsidR="001634C7" w:rsidRPr="00D437BD" w:rsidRDefault="00AA2F6C" w:rsidP="00C15189">
            <w:pPr>
              <w:jc w:val="both"/>
              <w:rPr>
                <w:rFonts w:ascii="Times New Roman" w:hAnsi="Times New Roman" w:cs="Times New Roman"/>
                <w:color w:val="000000" w:themeColor="text1"/>
                <w:sz w:val="18"/>
                <w:szCs w:val="18"/>
              </w:rPr>
            </w:pPr>
            <w:r w:rsidRPr="00D437BD">
              <w:rPr>
                <w:rFonts w:ascii="Times New Roman" w:hAnsi="Times New Roman" w:cs="Times New Roman"/>
                <w:color w:val="000000" w:themeColor="text1"/>
                <w:sz w:val="18"/>
                <w:szCs w:val="18"/>
              </w:rPr>
              <w:t>Arşivde saklanması gereken sınav evraklarının dijitalleştirilmesi konusunda çalışmalar yürütür. Mevcut arşiv evraklarının zamanı geldiğinde imhasından sorumludur.</w:t>
            </w:r>
          </w:p>
        </w:tc>
      </w:tr>
      <w:tr w:rsidR="001634C7" w:rsidRPr="009C70E3" w14:paraId="392208FC" w14:textId="77777777" w:rsidTr="00F25C8D">
        <w:trPr>
          <w:trHeight w:val="20"/>
        </w:trPr>
        <w:tc>
          <w:tcPr>
            <w:tcW w:w="2268" w:type="dxa"/>
            <w:vAlign w:val="center"/>
          </w:tcPr>
          <w:p w14:paraId="69D8F4E3" w14:textId="5490FDC5" w:rsidR="001634C7" w:rsidRPr="00D437BD" w:rsidRDefault="001634C7" w:rsidP="00DB3951">
            <w:pPr>
              <w:rPr>
                <w:rFonts w:ascii="Times New Roman" w:hAnsi="Times New Roman" w:cs="Times New Roman"/>
                <w:b/>
                <w:color w:val="000000" w:themeColor="text1"/>
                <w:sz w:val="18"/>
                <w:szCs w:val="18"/>
              </w:rPr>
            </w:pPr>
            <w:r w:rsidRPr="00D437BD">
              <w:rPr>
                <w:rFonts w:ascii="Times New Roman" w:hAnsi="Times New Roman" w:cs="Times New Roman"/>
                <w:b/>
                <w:color w:val="000000" w:themeColor="text1"/>
                <w:sz w:val="18"/>
                <w:szCs w:val="18"/>
              </w:rPr>
              <w:t>MEZUN İLETİŞİM</w:t>
            </w:r>
          </w:p>
        </w:tc>
        <w:tc>
          <w:tcPr>
            <w:tcW w:w="8477" w:type="dxa"/>
            <w:vAlign w:val="center"/>
          </w:tcPr>
          <w:p w14:paraId="45BE85DB" w14:textId="75DDCB63" w:rsidR="001634C7" w:rsidRPr="00D437BD" w:rsidRDefault="00AA2F6C" w:rsidP="00C15189">
            <w:pPr>
              <w:jc w:val="both"/>
              <w:rPr>
                <w:rFonts w:ascii="Times New Roman" w:hAnsi="Times New Roman" w:cs="Times New Roman"/>
                <w:color w:val="000000" w:themeColor="text1"/>
                <w:sz w:val="18"/>
                <w:szCs w:val="18"/>
              </w:rPr>
            </w:pPr>
            <w:r w:rsidRPr="00D437BD">
              <w:rPr>
                <w:rFonts w:ascii="Times New Roman" w:hAnsi="Times New Roman" w:cs="Times New Roman"/>
                <w:bCs/>
                <w:sz w:val="18"/>
                <w:szCs w:val="18"/>
              </w:rPr>
              <w:t>GSTMF’ne bağlı bölümlerden başarılı bir şekilde mezun olan öğrencilerimizle iletişimi sürdürmek için kurum mezun bilgi sisteminin işlerliğini sağlamak, iletişim araçlarını çeşitlendirmek, mevcut öğrenciler ile mezunların iletişim kurabilmesi için bölüm başkanlıklarının koordinasyonunda etkinlikler düzenlemek, her yıl SP kapsamında geri bildirim almak için mezunlarımıza ve mezun işverenlerine anketler düzenleyerek, sonuçlarını raporlayıp bölüm başkanlıklarına iletmekle sorumludur.</w:t>
            </w:r>
          </w:p>
        </w:tc>
      </w:tr>
      <w:tr w:rsidR="001634C7" w:rsidRPr="009C70E3" w14:paraId="4522804E" w14:textId="77777777" w:rsidTr="00F25C8D">
        <w:trPr>
          <w:trHeight w:val="20"/>
        </w:trPr>
        <w:tc>
          <w:tcPr>
            <w:tcW w:w="2268" w:type="dxa"/>
            <w:vAlign w:val="center"/>
          </w:tcPr>
          <w:p w14:paraId="7C1CEFDC" w14:textId="4A40AB29" w:rsidR="001634C7" w:rsidRPr="00D437BD" w:rsidRDefault="00DA33E0" w:rsidP="00DB3951">
            <w:pP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ÖĞRENCİ TOPLULUĞU</w:t>
            </w:r>
          </w:p>
        </w:tc>
        <w:tc>
          <w:tcPr>
            <w:tcW w:w="8477" w:type="dxa"/>
            <w:vAlign w:val="center"/>
          </w:tcPr>
          <w:p w14:paraId="45AE2732" w14:textId="577431E4" w:rsidR="001634C7" w:rsidRPr="00D437BD" w:rsidRDefault="00932491" w:rsidP="00DA33E0">
            <w:pPr>
              <w:jc w:val="both"/>
              <w:rPr>
                <w:rFonts w:ascii="Times New Roman" w:hAnsi="Times New Roman" w:cs="Times New Roman"/>
                <w:bCs/>
                <w:sz w:val="18"/>
                <w:szCs w:val="18"/>
              </w:rPr>
            </w:pPr>
            <w:r w:rsidRPr="00D437BD">
              <w:rPr>
                <w:rFonts w:ascii="Times New Roman" w:hAnsi="Times New Roman" w:cs="Times New Roman"/>
                <w:bCs/>
                <w:sz w:val="18"/>
                <w:szCs w:val="18"/>
              </w:rPr>
              <w:t xml:space="preserve">GSTMF’ne bağlı bölümlerde öğrenim gören öğrencileri, öğrenci </w:t>
            </w:r>
            <w:r w:rsidR="00DA33E0">
              <w:rPr>
                <w:rFonts w:ascii="Times New Roman" w:hAnsi="Times New Roman" w:cs="Times New Roman"/>
                <w:bCs/>
                <w:sz w:val="18"/>
                <w:szCs w:val="18"/>
              </w:rPr>
              <w:t>topluluklarına</w:t>
            </w:r>
            <w:r w:rsidRPr="00D437BD">
              <w:rPr>
                <w:rFonts w:ascii="Times New Roman" w:hAnsi="Times New Roman" w:cs="Times New Roman"/>
                <w:bCs/>
                <w:sz w:val="18"/>
                <w:szCs w:val="18"/>
              </w:rPr>
              <w:t xml:space="preserve"> kaydolmak konusunda bilgilendirme ve yönlendirme yapmakla görevlidir. Ayrıca öğrenci </w:t>
            </w:r>
            <w:r w:rsidR="00DA33E0">
              <w:rPr>
                <w:rFonts w:ascii="Times New Roman" w:hAnsi="Times New Roman" w:cs="Times New Roman"/>
                <w:bCs/>
                <w:sz w:val="18"/>
                <w:szCs w:val="18"/>
              </w:rPr>
              <w:t>topluluklarında</w:t>
            </w:r>
            <w:r w:rsidRPr="00D437BD">
              <w:rPr>
                <w:rFonts w:ascii="Times New Roman" w:hAnsi="Times New Roman" w:cs="Times New Roman"/>
                <w:bCs/>
                <w:sz w:val="18"/>
                <w:szCs w:val="18"/>
              </w:rPr>
              <w:t xml:space="preserve"> danışmanlık yapabilir.</w:t>
            </w:r>
          </w:p>
        </w:tc>
      </w:tr>
      <w:tr w:rsidR="00D437BD" w:rsidRPr="009C70E3" w14:paraId="0B22DCC3" w14:textId="77777777" w:rsidTr="00F25C8D">
        <w:trPr>
          <w:trHeight w:val="470"/>
        </w:trPr>
        <w:tc>
          <w:tcPr>
            <w:tcW w:w="2268" w:type="dxa"/>
            <w:vAlign w:val="center"/>
          </w:tcPr>
          <w:p w14:paraId="698669BB" w14:textId="1E135B7C" w:rsidR="00D437BD" w:rsidRPr="00D437BD" w:rsidRDefault="00D437BD" w:rsidP="00DB3951">
            <w:pPr>
              <w:rPr>
                <w:rFonts w:ascii="Times New Roman" w:hAnsi="Times New Roman" w:cs="Times New Roman"/>
                <w:b/>
                <w:color w:val="000000" w:themeColor="text1"/>
                <w:sz w:val="18"/>
                <w:szCs w:val="18"/>
              </w:rPr>
            </w:pPr>
            <w:r w:rsidRPr="00D437BD">
              <w:rPr>
                <w:rFonts w:ascii="Times New Roman" w:hAnsi="Times New Roman" w:cs="Times New Roman"/>
                <w:b/>
                <w:color w:val="000000" w:themeColor="text1"/>
                <w:sz w:val="18"/>
                <w:szCs w:val="18"/>
              </w:rPr>
              <w:t>MÜFREDAT VE DERSLERİN AÇILMASI</w:t>
            </w:r>
          </w:p>
        </w:tc>
        <w:tc>
          <w:tcPr>
            <w:tcW w:w="8477" w:type="dxa"/>
            <w:vAlign w:val="center"/>
          </w:tcPr>
          <w:p w14:paraId="45045A9A" w14:textId="77777777" w:rsidR="00D437BD" w:rsidRPr="00D437BD" w:rsidRDefault="00D437BD" w:rsidP="00C15189">
            <w:pPr>
              <w:jc w:val="both"/>
              <w:rPr>
                <w:rFonts w:ascii="Times New Roman" w:hAnsi="Times New Roman" w:cs="Times New Roman"/>
                <w:bCs/>
                <w:sz w:val="18"/>
                <w:szCs w:val="18"/>
              </w:rPr>
            </w:pPr>
            <w:r w:rsidRPr="00D437BD">
              <w:rPr>
                <w:rFonts w:ascii="Times New Roman" w:hAnsi="Times New Roman" w:cs="Times New Roman"/>
                <w:bCs/>
                <w:sz w:val="18"/>
                <w:szCs w:val="18"/>
              </w:rPr>
              <w:t>Her eğitim öğretim yılı başlangıcında, müfredat önerisinin hazırlanması ve öğrenci bilgi sistemine girilmesinde bölüm başkanlıklarına yardımcı olmak,</w:t>
            </w:r>
          </w:p>
          <w:p w14:paraId="4E897A3A" w14:textId="6B2CAA69" w:rsidR="00D437BD" w:rsidRPr="00D437BD" w:rsidRDefault="00D437BD" w:rsidP="00C15189">
            <w:pPr>
              <w:jc w:val="both"/>
              <w:rPr>
                <w:rFonts w:ascii="Times New Roman" w:hAnsi="Times New Roman" w:cs="Times New Roman"/>
                <w:bCs/>
                <w:sz w:val="18"/>
                <w:szCs w:val="18"/>
              </w:rPr>
            </w:pPr>
            <w:r w:rsidRPr="00D437BD">
              <w:rPr>
                <w:rFonts w:ascii="Times New Roman" w:hAnsi="Times New Roman" w:cs="Times New Roman"/>
                <w:bCs/>
                <w:sz w:val="18"/>
                <w:szCs w:val="18"/>
              </w:rPr>
              <w:t>Öğretim döneminde açılacak derslerin</w:t>
            </w:r>
            <w:r>
              <w:rPr>
                <w:rFonts w:ascii="Times New Roman" w:hAnsi="Times New Roman" w:cs="Times New Roman"/>
                <w:bCs/>
                <w:sz w:val="18"/>
                <w:szCs w:val="18"/>
              </w:rPr>
              <w:t xml:space="preserve"> öğrenci kaydına uygun hale getirilmesi konusunda bölüm başkanlıklarına yardımcı olmakla sorumludur.</w:t>
            </w:r>
          </w:p>
        </w:tc>
      </w:tr>
      <w:tr w:rsidR="001634C7" w:rsidRPr="009C70E3" w14:paraId="1759F17F" w14:textId="77777777" w:rsidTr="00F25C8D">
        <w:trPr>
          <w:trHeight w:val="20"/>
        </w:trPr>
        <w:tc>
          <w:tcPr>
            <w:tcW w:w="2268" w:type="dxa"/>
            <w:vAlign w:val="center"/>
          </w:tcPr>
          <w:p w14:paraId="056F0EE7" w14:textId="0F6BE650" w:rsidR="001634C7" w:rsidRPr="00D437BD" w:rsidRDefault="001634C7" w:rsidP="00DB3951">
            <w:pPr>
              <w:rPr>
                <w:rFonts w:ascii="Times New Roman" w:hAnsi="Times New Roman" w:cs="Times New Roman"/>
                <w:b/>
                <w:color w:val="000000" w:themeColor="text1"/>
                <w:sz w:val="18"/>
                <w:szCs w:val="18"/>
              </w:rPr>
            </w:pPr>
            <w:r w:rsidRPr="00D437BD">
              <w:rPr>
                <w:rFonts w:ascii="Times New Roman" w:hAnsi="Times New Roman" w:cs="Times New Roman"/>
                <w:b/>
                <w:color w:val="000000" w:themeColor="text1"/>
                <w:sz w:val="18"/>
                <w:szCs w:val="18"/>
              </w:rPr>
              <w:t xml:space="preserve">ÖZ DEĞERLENDİRME </w:t>
            </w:r>
          </w:p>
        </w:tc>
        <w:tc>
          <w:tcPr>
            <w:tcW w:w="8477" w:type="dxa"/>
            <w:vAlign w:val="center"/>
          </w:tcPr>
          <w:p w14:paraId="2CA37F5E" w14:textId="02BB5ABD" w:rsidR="001634C7" w:rsidRPr="00D437BD" w:rsidRDefault="00AA6681" w:rsidP="00C15189">
            <w:pPr>
              <w:jc w:val="both"/>
              <w:rPr>
                <w:rFonts w:ascii="Times New Roman" w:hAnsi="Times New Roman" w:cs="Times New Roman"/>
                <w:bCs/>
                <w:sz w:val="18"/>
                <w:szCs w:val="18"/>
              </w:rPr>
            </w:pPr>
            <w:r>
              <w:rPr>
                <w:rFonts w:ascii="Times New Roman" w:hAnsi="Times New Roman" w:cs="Times New Roman"/>
                <w:bCs/>
                <w:sz w:val="18"/>
                <w:szCs w:val="18"/>
              </w:rPr>
              <w:t xml:space="preserve">SP kapsamında, </w:t>
            </w:r>
            <w:r w:rsidRPr="00D437BD">
              <w:rPr>
                <w:rFonts w:ascii="Times New Roman" w:hAnsi="Times New Roman" w:cs="Times New Roman"/>
                <w:bCs/>
                <w:sz w:val="18"/>
                <w:szCs w:val="18"/>
              </w:rPr>
              <w:t>GSTMF’ne bağlı bölümlerde</w:t>
            </w:r>
            <w:r>
              <w:rPr>
                <w:rFonts w:ascii="Times New Roman" w:hAnsi="Times New Roman" w:cs="Times New Roman"/>
                <w:bCs/>
                <w:sz w:val="18"/>
                <w:szCs w:val="18"/>
              </w:rPr>
              <w:t xml:space="preserve"> akreditasyon süreçlerini ilerletmek için </w:t>
            </w:r>
            <w:r w:rsidR="00DD3038">
              <w:rPr>
                <w:rFonts w:ascii="Times New Roman" w:hAnsi="Times New Roman" w:cs="Times New Roman"/>
                <w:bCs/>
                <w:sz w:val="18"/>
                <w:szCs w:val="18"/>
              </w:rPr>
              <w:t>bilgilerin toplanması ve raporlanması işlerini yürütmekle sorumludur.</w:t>
            </w:r>
          </w:p>
        </w:tc>
      </w:tr>
    </w:tbl>
    <w:p w14:paraId="18A987B3" w14:textId="2B112807" w:rsidR="004B3511" w:rsidRDefault="004B3511" w:rsidP="00387126">
      <w:pPr>
        <w:spacing w:after="120" w:line="240" w:lineRule="auto"/>
        <w:ind w:left="-1134" w:right="-851"/>
        <w:jc w:val="both"/>
        <w:rPr>
          <w:rFonts w:cstheme="minorHAnsi"/>
          <w:b/>
          <w:sz w:val="18"/>
          <w:szCs w:val="18"/>
        </w:rPr>
      </w:pPr>
    </w:p>
    <w:tbl>
      <w:tblPr>
        <w:tblW w:w="10632" w:type="dxa"/>
        <w:tblInd w:w="-6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0"/>
        <w:gridCol w:w="3259"/>
        <w:gridCol w:w="3513"/>
      </w:tblGrid>
      <w:tr w:rsidR="00F25C8D" w:rsidRPr="00AE6D38" w14:paraId="3F7C21CD" w14:textId="77777777" w:rsidTr="00F25C8D">
        <w:tc>
          <w:tcPr>
            <w:tcW w:w="3860" w:type="dxa"/>
            <w:shd w:val="clear" w:color="auto" w:fill="auto"/>
          </w:tcPr>
          <w:p w14:paraId="1A92AA63" w14:textId="77777777" w:rsidR="00F25C8D" w:rsidRPr="007D6CCA" w:rsidRDefault="00F25C8D" w:rsidP="00C334FF">
            <w:pPr>
              <w:pStyle w:val="a"/>
              <w:jc w:val="center"/>
              <w:rPr>
                <w:rFonts w:ascii="Times New Roman" w:hAnsi="Times New Roman"/>
                <w:b/>
              </w:rPr>
            </w:pPr>
            <w:r w:rsidRPr="007D6CCA">
              <w:rPr>
                <w:rFonts w:ascii="Times New Roman" w:hAnsi="Times New Roman"/>
                <w:b/>
              </w:rPr>
              <w:t>Hazırlayan</w:t>
            </w:r>
          </w:p>
        </w:tc>
        <w:tc>
          <w:tcPr>
            <w:tcW w:w="3259" w:type="dxa"/>
            <w:shd w:val="clear" w:color="auto" w:fill="auto"/>
          </w:tcPr>
          <w:p w14:paraId="079F4F6A" w14:textId="77777777" w:rsidR="00F25C8D" w:rsidRPr="007D6CCA" w:rsidRDefault="00F25C8D" w:rsidP="00C334FF">
            <w:pPr>
              <w:pStyle w:val="a"/>
              <w:jc w:val="center"/>
              <w:rPr>
                <w:rFonts w:ascii="Times New Roman" w:hAnsi="Times New Roman"/>
                <w:b/>
              </w:rPr>
            </w:pPr>
            <w:r w:rsidRPr="007D6CCA">
              <w:rPr>
                <w:rFonts w:ascii="Times New Roman" w:hAnsi="Times New Roman"/>
                <w:b/>
              </w:rPr>
              <w:t>Sistem Onayı</w:t>
            </w:r>
          </w:p>
        </w:tc>
        <w:tc>
          <w:tcPr>
            <w:tcW w:w="3513" w:type="dxa"/>
            <w:shd w:val="clear" w:color="auto" w:fill="auto"/>
          </w:tcPr>
          <w:p w14:paraId="05B658DF" w14:textId="77777777" w:rsidR="00F25C8D" w:rsidRPr="007D6CCA" w:rsidRDefault="00F25C8D" w:rsidP="00C334FF">
            <w:pPr>
              <w:pStyle w:val="a"/>
              <w:jc w:val="center"/>
              <w:rPr>
                <w:rFonts w:ascii="Times New Roman" w:hAnsi="Times New Roman"/>
                <w:b/>
              </w:rPr>
            </w:pPr>
            <w:r w:rsidRPr="007D6CCA">
              <w:rPr>
                <w:rFonts w:ascii="Times New Roman" w:hAnsi="Times New Roman"/>
                <w:b/>
              </w:rPr>
              <w:t>Yürürlük Onayı</w:t>
            </w:r>
          </w:p>
        </w:tc>
      </w:tr>
      <w:tr w:rsidR="00F25C8D" w:rsidRPr="00AE6D38" w14:paraId="156521C7" w14:textId="77777777" w:rsidTr="00F25C8D">
        <w:trPr>
          <w:trHeight w:val="1002"/>
        </w:trPr>
        <w:tc>
          <w:tcPr>
            <w:tcW w:w="3860" w:type="dxa"/>
            <w:shd w:val="clear" w:color="auto" w:fill="auto"/>
          </w:tcPr>
          <w:p w14:paraId="1829978E" w14:textId="0F8B4220" w:rsidR="00F25C8D" w:rsidRDefault="00F25C8D" w:rsidP="00C334FF">
            <w:pPr>
              <w:pStyle w:val="a"/>
              <w:jc w:val="center"/>
              <w:rPr>
                <w:rFonts w:ascii="Times New Roman" w:hAnsi="Times New Roman"/>
              </w:rPr>
            </w:pPr>
            <w:r>
              <w:rPr>
                <w:rFonts w:ascii="Times New Roman" w:hAnsi="Times New Roman"/>
              </w:rPr>
              <w:t>Havva KEKLİK</w:t>
            </w:r>
          </w:p>
          <w:p w14:paraId="0EA7F383" w14:textId="317D89F1" w:rsidR="00F25C8D" w:rsidRPr="0026325D" w:rsidRDefault="00F25C8D" w:rsidP="00C334FF">
            <w:pPr>
              <w:pStyle w:val="a"/>
              <w:jc w:val="center"/>
              <w:rPr>
                <w:rFonts w:ascii="Times New Roman" w:hAnsi="Times New Roman"/>
              </w:rPr>
            </w:pPr>
            <w:r>
              <w:rPr>
                <w:rFonts w:ascii="Times New Roman" w:hAnsi="Times New Roman"/>
              </w:rPr>
              <w:t>Fakülte Sekreteri</w:t>
            </w:r>
            <w:r>
              <w:rPr>
                <w:rFonts w:ascii="Times New Roman" w:hAnsi="Times New Roman"/>
              </w:rPr>
              <w:t xml:space="preserve"> V.</w:t>
            </w:r>
          </w:p>
        </w:tc>
        <w:tc>
          <w:tcPr>
            <w:tcW w:w="3259" w:type="dxa"/>
            <w:shd w:val="clear" w:color="auto" w:fill="auto"/>
          </w:tcPr>
          <w:p w14:paraId="5C35A2A8" w14:textId="77777777" w:rsidR="00F25C8D" w:rsidRPr="0026325D" w:rsidRDefault="00F25C8D" w:rsidP="00C334FF">
            <w:pPr>
              <w:pStyle w:val="a"/>
              <w:jc w:val="center"/>
              <w:rPr>
                <w:rFonts w:ascii="Times New Roman" w:hAnsi="Times New Roman"/>
              </w:rPr>
            </w:pPr>
          </w:p>
        </w:tc>
        <w:tc>
          <w:tcPr>
            <w:tcW w:w="3513" w:type="dxa"/>
            <w:shd w:val="clear" w:color="auto" w:fill="auto"/>
          </w:tcPr>
          <w:p w14:paraId="10ADFE78" w14:textId="2F8E6447" w:rsidR="00F25C8D" w:rsidRDefault="00F25C8D" w:rsidP="00C334FF">
            <w:pPr>
              <w:pStyle w:val="a"/>
              <w:jc w:val="center"/>
              <w:rPr>
                <w:rFonts w:ascii="Times New Roman" w:hAnsi="Times New Roman"/>
              </w:rPr>
            </w:pPr>
            <w:r w:rsidRPr="0026325D">
              <w:rPr>
                <w:rFonts w:ascii="Times New Roman" w:hAnsi="Times New Roman"/>
              </w:rPr>
              <w:t>Prof. Dr.</w:t>
            </w:r>
            <w:r>
              <w:rPr>
                <w:rFonts w:ascii="Times New Roman" w:hAnsi="Times New Roman"/>
              </w:rPr>
              <w:t xml:space="preserve"> </w:t>
            </w:r>
            <w:r>
              <w:rPr>
                <w:rFonts w:ascii="Times New Roman" w:hAnsi="Times New Roman"/>
              </w:rPr>
              <w:t>Uğurcan AKYÜZ</w:t>
            </w:r>
          </w:p>
          <w:p w14:paraId="7E080999" w14:textId="77777777" w:rsidR="00F25C8D" w:rsidRPr="0026325D" w:rsidRDefault="00F25C8D" w:rsidP="00C334FF">
            <w:pPr>
              <w:pStyle w:val="a"/>
              <w:jc w:val="center"/>
              <w:rPr>
                <w:rFonts w:ascii="Times New Roman" w:hAnsi="Times New Roman"/>
              </w:rPr>
            </w:pPr>
            <w:r>
              <w:rPr>
                <w:rFonts w:ascii="Times New Roman" w:hAnsi="Times New Roman"/>
              </w:rPr>
              <w:t>Dekan</w:t>
            </w:r>
          </w:p>
        </w:tc>
      </w:tr>
    </w:tbl>
    <w:p w14:paraId="2BCE0B42" w14:textId="71939E27" w:rsidR="00F25C8D" w:rsidRPr="00F25C8D" w:rsidRDefault="00F25C8D" w:rsidP="00F25C8D">
      <w:pPr>
        <w:tabs>
          <w:tab w:val="left" w:pos="2232"/>
          <w:tab w:val="left" w:pos="3060"/>
        </w:tabs>
        <w:rPr>
          <w:sz w:val="18"/>
          <w:szCs w:val="4"/>
          <w:lang w:val="en-US" w:eastAsia="tr-TR"/>
        </w:rPr>
      </w:pPr>
    </w:p>
    <w:sectPr w:rsidR="00F25C8D" w:rsidRPr="00F25C8D" w:rsidSect="00F25C8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EF2"/>
    <w:multiLevelType w:val="hybridMultilevel"/>
    <w:tmpl w:val="91AE4A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A95F7E"/>
    <w:multiLevelType w:val="hybridMultilevel"/>
    <w:tmpl w:val="4E9C4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40023935">
    <w:abstractNumId w:val="0"/>
  </w:num>
  <w:num w:numId="2" w16cid:durableId="134952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CA"/>
    <w:rsid w:val="00024DFA"/>
    <w:rsid w:val="000328A3"/>
    <w:rsid w:val="000358FA"/>
    <w:rsid w:val="00066C50"/>
    <w:rsid w:val="00072927"/>
    <w:rsid w:val="00080657"/>
    <w:rsid w:val="000A5034"/>
    <w:rsid w:val="001355D8"/>
    <w:rsid w:val="00135D59"/>
    <w:rsid w:val="0014493E"/>
    <w:rsid w:val="001634C7"/>
    <w:rsid w:val="001760AB"/>
    <w:rsid w:val="00183689"/>
    <w:rsid w:val="0018726D"/>
    <w:rsid w:val="001977C5"/>
    <w:rsid w:val="001E3448"/>
    <w:rsid w:val="0021090A"/>
    <w:rsid w:val="00252FF2"/>
    <w:rsid w:val="00315DA2"/>
    <w:rsid w:val="00387126"/>
    <w:rsid w:val="003B0738"/>
    <w:rsid w:val="003B7ED0"/>
    <w:rsid w:val="00436402"/>
    <w:rsid w:val="00440442"/>
    <w:rsid w:val="004A1CA8"/>
    <w:rsid w:val="004B3511"/>
    <w:rsid w:val="0051680A"/>
    <w:rsid w:val="0056421D"/>
    <w:rsid w:val="00572C5F"/>
    <w:rsid w:val="005A33AA"/>
    <w:rsid w:val="005D09DE"/>
    <w:rsid w:val="00602E54"/>
    <w:rsid w:val="006100D7"/>
    <w:rsid w:val="00672B79"/>
    <w:rsid w:val="0069294D"/>
    <w:rsid w:val="006B4158"/>
    <w:rsid w:val="006D044B"/>
    <w:rsid w:val="00703986"/>
    <w:rsid w:val="00735FDB"/>
    <w:rsid w:val="00745C30"/>
    <w:rsid w:val="00757D2B"/>
    <w:rsid w:val="00786685"/>
    <w:rsid w:val="007D1DE8"/>
    <w:rsid w:val="007E0D1A"/>
    <w:rsid w:val="007E6E54"/>
    <w:rsid w:val="007F0DB6"/>
    <w:rsid w:val="00800CB2"/>
    <w:rsid w:val="00814563"/>
    <w:rsid w:val="00846E15"/>
    <w:rsid w:val="00853056"/>
    <w:rsid w:val="00875C44"/>
    <w:rsid w:val="008941DE"/>
    <w:rsid w:val="00924F92"/>
    <w:rsid w:val="00932491"/>
    <w:rsid w:val="0095175B"/>
    <w:rsid w:val="00970166"/>
    <w:rsid w:val="009A1D4F"/>
    <w:rsid w:val="009B1944"/>
    <w:rsid w:val="009B5320"/>
    <w:rsid w:val="009C70E3"/>
    <w:rsid w:val="00A72B85"/>
    <w:rsid w:val="00AA2F6C"/>
    <w:rsid w:val="00AA6681"/>
    <w:rsid w:val="00AB679E"/>
    <w:rsid w:val="00AD5EC6"/>
    <w:rsid w:val="00AE7476"/>
    <w:rsid w:val="00B33146"/>
    <w:rsid w:val="00BB7DE9"/>
    <w:rsid w:val="00BC0ADE"/>
    <w:rsid w:val="00C15189"/>
    <w:rsid w:val="00C257CA"/>
    <w:rsid w:val="00C34075"/>
    <w:rsid w:val="00C35A01"/>
    <w:rsid w:val="00C36645"/>
    <w:rsid w:val="00C8702E"/>
    <w:rsid w:val="00C936AB"/>
    <w:rsid w:val="00CD0D88"/>
    <w:rsid w:val="00CE315D"/>
    <w:rsid w:val="00CF32FE"/>
    <w:rsid w:val="00CF6C81"/>
    <w:rsid w:val="00D41BA0"/>
    <w:rsid w:val="00D437BD"/>
    <w:rsid w:val="00DA33E0"/>
    <w:rsid w:val="00DB3951"/>
    <w:rsid w:val="00DC35B6"/>
    <w:rsid w:val="00DD3038"/>
    <w:rsid w:val="00DF02D0"/>
    <w:rsid w:val="00E131EE"/>
    <w:rsid w:val="00E47677"/>
    <w:rsid w:val="00EA03C3"/>
    <w:rsid w:val="00EB7CA8"/>
    <w:rsid w:val="00EC4E22"/>
    <w:rsid w:val="00ED0EF6"/>
    <w:rsid w:val="00EE5B45"/>
    <w:rsid w:val="00F12CC2"/>
    <w:rsid w:val="00F1777D"/>
    <w:rsid w:val="00F25C8D"/>
    <w:rsid w:val="00F313B3"/>
    <w:rsid w:val="00F46EA1"/>
    <w:rsid w:val="00F80397"/>
    <w:rsid w:val="00FA14D4"/>
    <w:rsid w:val="00FF3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236E"/>
  <w15:docId w15:val="{FFACA392-F696-4268-BEDF-7E2163C1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2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F02D0"/>
    <w:pPr>
      <w:ind w:left="720"/>
      <w:contextualSpacing/>
    </w:pPr>
  </w:style>
  <w:style w:type="paragraph" w:styleId="AralkYok">
    <w:name w:val="No Spacing"/>
    <w:uiPriority w:val="1"/>
    <w:qFormat/>
    <w:rsid w:val="009A1D4F"/>
    <w:pPr>
      <w:spacing w:after="0" w:line="240" w:lineRule="auto"/>
    </w:pPr>
  </w:style>
  <w:style w:type="character" w:styleId="Kpr">
    <w:name w:val="Hyperlink"/>
    <w:basedOn w:val="VarsaylanParagrafYazTipi"/>
    <w:uiPriority w:val="99"/>
    <w:unhideWhenUsed/>
    <w:rsid w:val="00853056"/>
    <w:rPr>
      <w:color w:val="0000FF" w:themeColor="hyperlink"/>
      <w:u w:val="single"/>
    </w:rPr>
  </w:style>
  <w:style w:type="character" w:customStyle="1" w:styleId="zmlenmeyenBahsetme1">
    <w:name w:val="Çözümlenmeyen Bahsetme1"/>
    <w:basedOn w:val="VarsaylanParagrafYazTipi"/>
    <w:uiPriority w:val="99"/>
    <w:semiHidden/>
    <w:unhideWhenUsed/>
    <w:rsid w:val="00853056"/>
    <w:rPr>
      <w:color w:val="605E5C"/>
      <w:shd w:val="clear" w:color="auto" w:fill="E1DFDD"/>
    </w:rPr>
  </w:style>
  <w:style w:type="paragraph" w:styleId="a">
    <w:basedOn w:val="Normal"/>
    <w:next w:val="AltBilgi"/>
    <w:link w:val="AltbilgiChar"/>
    <w:uiPriority w:val="99"/>
    <w:unhideWhenUsed/>
    <w:rsid w:val="00F25C8D"/>
    <w:pPr>
      <w:tabs>
        <w:tab w:val="center" w:pos="4536"/>
        <w:tab w:val="right" w:pos="9072"/>
      </w:tabs>
      <w:spacing w:after="0" w:line="240" w:lineRule="auto"/>
    </w:pPr>
    <w:rPr>
      <w:rFonts w:ascii="Calibri" w:eastAsia="Calibri" w:hAnsi="Calibri" w:cs="Times New Roman"/>
      <w:sz w:val="20"/>
      <w:szCs w:val="20"/>
      <w:lang w:eastAsia="tr-TR"/>
    </w:rPr>
  </w:style>
  <w:style w:type="character" w:customStyle="1" w:styleId="AltbilgiChar">
    <w:name w:val="Altbilgi Char"/>
    <w:basedOn w:val="VarsaylanParagrafYazTipi"/>
    <w:uiPriority w:val="99"/>
    <w:rsid w:val="00F25C8D"/>
  </w:style>
  <w:style w:type="paragraph" w:styleId="AltBilgi">
    <w:name w:val="footer"/>
    <w:basedOn w:val="Normal"/>
    <w:link w:val="AltBilgiChar0"/>
    <w:uiPriority w:val="99"/>
    <w:semiHidden/>
    <w:unhideWhenUsed/>
    <w:rsid w:val="00F25C8D"/>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F25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oros.edu.tr/storage/files/393/GSTMF%20Staj%20Y&#246;nergesi-Senato-13.7.23-13.33%20(2)%20(2).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4685ff-c8ba-4900-8507-88b089a650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40AE1B5D64D4BB864CA5A44DCF677" ma:contentTypeVersion="10" ma:contentTypeDescription="Create a new document." ma:contentTypeScope="" ma:versionID="2d690e097f2e9997fb5da1e7f709500c">
  <xsd:schema xmlns:xsd="http://www.w3.org/2001/XMLSchema" xmlns:xs="http://www.w3.org/2001/XMLSchema" xmlns:p="http://schemas.microsoft.com/office/2006/metadata/properties" xmlns:ns3="454685ff-c8ba-4900-8507-88b089a650ca" xmlns:ns4="ae172e1d-4ce6-4ae4-8785-74e9f4221a93" targetNamespace="http://schemas.microsoft.com/office/2006/metadata/properties" ma:root="true" ma:fieldsID="40f2a701aae7d1d7860c36bf21aefea0" ns3:_="" ns4:_="">
    <xsd:import namespace="454685ff-c8ba-4900-8507-88b089a650ca"/>
    <xsd:import namespace="ae172e1d-4ce6-4ae4-8785-74e9f4221a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685ff-c8ba-4900-8507-88b089a6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72e1d-4ce6-4ae4-8785-74e9f4221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818B2-4781-4D9E-A070-0FA685889731}">
  <ds:schemaRefs>
    <ds:schemaRef ds:uri="http://schemas.microsoft.com/office/2006/metadata/properties"/>
    <ds:schemaRef ds:uri="http://schemas.microsoft.com/office/infopath/2007/PartnerControls"/>
    <ds:schemaRef ds:uri="454685ff-c8ba-4900-8507-88b089a650ca"/>
  </ds:schemaRefs>
</ds:datastoreItem>
</file>

<file path=customXml/itemProps2.xml><?xml version="1.0" encoding="utf-8"?>
<ds:datastoreItem xmlns:ds="http://schemas.openxmlformats.org/officeDocument/2006/customXml" ds:itemID="{1DDD550C-07C5-430C-807C-8643BC009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685ff-c8ba-4900-8507-88b089a650ca"/>
    <ds:schemaRef ds:uri="ae172e1d-4ce6-4ae4-8785-74e9f4221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CA6B0-A29D-49AD-AC0D-812202680F80}">
  <ds:schemaRefs>
    <ds:schemaRef ds:uri="http://schemas.openxmlformats.org/officeDocument/2006/bibliography"/>
  </ds:schemaRefs>
</ds:datastoreItem>
</file>

<file path=customXml/itemProps4.xml><?xml version="1.0" encoding="utf-8"?>
<ds:datastoreItem xmlns:ds="http://schemas.openxmlformats.org/officeDocument/2006/customXml" ds:itemID="{2617950C-D9BA-4AD9-B85F-7E9689B03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4948</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HAVVA KEKLİK</cp:lastModifiedBy>
  <cp:revision>2</cp:revision>
  <cp:lastPrinted>2024-04-04T13:17:00Z</cp:lastPrinted>
  <dcterms:created xsi:type="dcterms:W3CDTF">2025-03-21T07:51:00Z</dcterms:created>
  <dcterms:modified xsi:type="dcterms:W3CDTF">2025-03-21T07:51:00Z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0x010100C9240AE1B5D64D4BB864CA5A44DCF677</vt:lpwstr>
  </property>
</Properties>
</file>